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Trauma craneoencefálico, de pelvis y extremidades</w:t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-533399</wp:posOffset>
            </wp:positionH>
            <wp:positionV relativeFrom="paragraph">
              <wp:posOffset>304800</wp:posOffset>
            </wp:positionV>
            <wp:extent cx="6500813" cy="487067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0813" cy="48706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