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-900112</wp:posOffset>
            </wp:positionH>
            <wp:positionV relativeFrom="paragraph">
              <wp:posOffset>114300</wp:posOffset>
            </wp:positionV>
            <wp:extent cx="7519988" cy="48291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482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>
        <w:sz w:val="144"/>
        <w:szCs w:val="144"/>
      </w:rPr>
    </w:pPr>
    <w:r w:rsidDel="00000000" w:rsidR="00000000" w:rsidRPr="00000000">
      <w:rPr>
        <w:sz w:val="34"/>
        <w:szCs w:val="34"/>
        <w:rtl w:val="0"/>
      </w:rPr>
      <w:t xml:space="preserve">⁠Trauma mecanismo y respuesta metabólica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